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E1" w:rsidRDefault="00A30BE1" w:rsidP="00A30B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Порядок заповнення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Авансового звіту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З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31.01.2011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р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.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набрав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чинності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Порядок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складання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Звіту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про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використання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коштів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,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виданих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на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відрядження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або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під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звіт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,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затверджений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наказом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ДПА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України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N 996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від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23.12.2010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р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>. </w:t>
      </w:r>
      <w:r w:rsidRPr="00A30BE1">
        <w:rPr>
          <w:rFonts w:ascii="Verdana" w:eastAsia="Times New Roman" w:hAnsi="Verdana" w:cs="Tahoma"/>
          <w:i/>
          <w:iCs/>
          <w:color w:val="000000"/>
          <w:sz w:val="28"/>
          <w:szCs w:val="28"/>
          <w:lang w:val="en-US"/>
        </w:rPr>
        <w:t>(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далі</w:t>
      </w:r>
      <w:r w:rsidRPr="00A30BE1">
        <w:rPr>
          <w:rFonts w:ascii="Verdana" w:eastAsia="Times New Roman" w:hAnsi="Verdana" w:cs="Tahoma"/>
          <w:i/>
          <w:iCs/>
          <w:color w:val="000000"/>
          <w:sz w:val="28"/>
          <w:szCs w:val="28"/>
          <w:lang w:val="en-US"/>
        </w:rPr>
        <w:t xml:space="preserve"> – 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Порядок</w:t>
      </w:r>
      <w:r w:rsidRPr="00A30BE1">
        <w:rPr>
          <w:rFonts w:ascii="Verdana" w:eastAsia="Times New Roman" w:hAnsi="Verdana" w:cs="Tahoma"/>
          <w:i/>
          <w:iCs/>
          <w:color w:val="000000"/>
          <w:sz w:val="28"/>
          <w:szCs w:val="28"/>
          <w:lang w:val="en-US"/>
        </w:rPr>
        <w:t xml:space="preserve"> N 996)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,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який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вніс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певні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зміни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до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правил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складання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та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подання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Звіту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про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використання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коштів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,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виданих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на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відрядження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або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під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звіт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 xml:space="preserve"> (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далі</w:t>
      </w:r>
      <w:r w:rsidRPr="00A30BE1">
        <w:rPr>
          <w:rFonts w:ascii="Verdana" w:eastAsia="Times New Roman" w:hAnsi="Verdana" w:cs="Tahoma"/>
          <w:i/>
          <w:iCs/>
          <w:color w:val="000000"/>
          <w:sz w:val="28"/>
          <w:szCs w:val="28"/>
          <w:lang w:val="en-US"/>
        </w:rPr>
        <w:t xml:space="preserve"> – 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Звіт</w:t>
      </w:r>
      <w:r w:rsidRPr="00A30BE1">
        <w:rPr>
          <w:rFonts w:ascii="Verdana" w:eastAsia="Times New Roman" w:hAnsi="Verdana" w:cs="Tahoma"/>
          <w:i/>
          <w:iCs/>
          <w:color w:val="000000"/>
          <w:sz w:val="28"/>
          <w:szCs w:val="28"/>
          <w:lang w:val="en-US"/>
        </w:rPr>
        <w:t>)</w:t>
      </w:r>
      <w:r w:rsidRPr="00A30BE1">
        <w:rPr>
          <w:rFonts w:ascii="Verdana" w:eastAsia="Times New Roman" w:hAnsi="Verdana" w:cs="Tahoma"/>
          <w:color w:val="000000"/>
          <w:sz w:val="28"/>
          <w:szCs w:val="28"/>
          <w:lang w:val="en-US"/>
        </w:rPr>
        <w:t>.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  <w:lang w:val="en-US"/>
        </w:rPr>
        <w:br/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Тому будьте уважні, з 31.01.2011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року слід застосовувати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НОВУ ФОРМУ АВАНСОВОГО ЗВІТУ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.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Ми, в свою чергу, хочемо відзначити деякі новинки Звіту, які намітилися у зв’язку з цим.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1. Зовнішній вигляд форми Авансового звіту</w:t>
      </w:r>
    </w:p>
    <w:p w:rsidR="00015AA5" w:rsidRPr="00015AA5" w:rsidRDefault="00015AA5" w:rsidP="00015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AA5" w:rsidRPr="00015AA5" w:rsidRDefault="00015AA5" w:rsidP="00015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AA5">
        <w:rPr>
          <w:rFonts w:ascii="Tahoma" w:eastAsia="Times New Roman" w:hAnsi="Tahoma" w:cs="Tahoma"/>
          <w:noProof/>
          <w:color w:val="454545"/>
          <w:sz w:val="28"/>
          <w:szCs w:val="28"/>
          <w:shd w:val="clear" w:color="auto" w:fill="FFFFF5"/>
        </w:rPr>
        <w:drawing>
          <wp:inline distT="0" distB="0" distL="0" distR="0">
            <wp:extent cx="4394925" cy="5534167"/>
            <wp:effectExtent l="19050" t="0" r="5625" b="0"/>
            <wp:docPr id="1" name="Рисунок 1" descr="http://shop.vlasnasprava.info/files/VikKoshtVidrj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.vlasnasprava.info/files/VikKoshtVidrja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553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lastRenderedPageBreak/>
        <w:t>Почнемо по порядку:</w:t>
      </w:r>
    </w:p>
    <w:p w:rsidR="00015AA5" w:rsidRPr="00015AA5" w:rsidRDefault="00015AA5" w:rsidP="00015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реквізит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"Назва підприємства"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замінено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на реквізит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"Найменування податкового агента"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;</w:t>
      </w:r>
    </w:p>
    <w:p w:rsidR="00015AA5" w:rsidRPr="00015AA5" w:rsidRDefault="00015AA5" w:rsidP="00015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реквізит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"Ідентифікаційний номер" замінено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відповідно до вимог Податкового кодексу України (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далі – ПКУ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), реквізитом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"Податковий номер (або серія і номер паспорта)"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. Так, фізичні особи, які через релігійні переконання відмовилися від своєї ідентифікації як платники податків, повідомили про це відповідний орган ДПС і мають відмітку в паспорті, замість податкового номера на бланку повинні зазначати серію та номер паспорта;</w:t>
      </w:r>
    </w:p>
    <w:p w:rsidR="00015AA5" w:rsidRPr="00015AA5" w:rsidRDefault="00015AA5" w:rsidP="00015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"Звіт затверджено в сумі"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винесено в праву верхню частину Звіту;</w:t>
      </w:r>
    </w:p>
    <w:p w:rsidR="00015AA5" w:rsidRPr="00015AA5" w:rsidRDefault="00015AA5" w:rsidP="00015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для зручності було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спрощено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структуру розділу, де відображаються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бухгалтерські проведення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;</w:t>
      </w:r>
    </w:p>
    <w:p w:rsidR="00015AA5" w:rsidRPr="00015AA5" w:rsidRDefault="00015AA5" w:rsidP="00015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реквізит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"Доцільність проведеної витрати підтверджую" зник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;</w:t>
      </w:r>
    </w:p>
    <w:p w:rsidR="00015AA5" w:rsidRPr="00015AA5" w:rsidRDefault="00015AA5" w:rsidP="00015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також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відсутній 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реквізит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"Сума штрафу"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та формула його розрахунку. ПКУ не передбачає стягнення штрафу з підзвітної особи за несвоєчасне повернення коштів, виданих на відрядження, як це було встановлено Законом України "Про податок з доходів фізичних осіб"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(N 889-IV від 22.05.03 р.);</w:t>
      </w:r>
    </w:p>
    <w:p w:rsidR="00015AA5" w:rsidRPr="00015AA5" w:rsidRDefault="00015AA5" w:rsidP="00015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дещо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змінився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реквізит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"Сума податку"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та порядок його розрахунку. Згідно з вимогами пп. 164.2.11 ПКУ несвоєчасно повернута сума надміру витрачених коштів підлягає оподаткуванню ПДФО. Форму розрахунку даного реквізиту подано у двох варіантах - за ставками 15% і 17%. Ставка 17% застосовується, коли сума, яку вчасно не повернуто, перевищує 10 мінімальних зарплат станом на 1 січня, тобто в 2011 році це 9410 грн.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(п. 167.1 ПКУ).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Ставка 17% застосовується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тільки до суми перевищення.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 інших графах нова форма Звіту нічим не відрізняється від попередньої.</w:t>
      </w:r>
    </w:p>
    <w:p w:rsidR="00015AA5" w:rsidRDefault="00015AA5">
      <w:pPr>
        <w:rPr>
          <w:rFonts w:ascii="Verdana" w:eastAsia="Times New Roman" w:hAnsi="Verdana" w:cs="Tahoma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ahoma"/>
          <w:b/>
          <w:bCs/>
          <w:color w:val="000000"/>
          <w:sz w:val="28"/>
          <w:szCs w:val="28"/>
        </w:rPr>
        <w:br w:type="page"/>
      </w:r>
    </w:p>
    <w:p w:rsidR="00015AA5" w:rsidRPr="00015AA5" w:rsidRDefault="00015AA5" w:rsidP="00015AA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lastRenderedPageBreak/>
        <w:t>2. Хто заповнює Авансовий звіт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Звіт складається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платником податку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(підзвітною особою), що отримала такі кошти на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 підприємствах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всіх організаційно-правових форм або у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самозайнятої особи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(п.5 Порядку N 996)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.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Та, як видно з бланку Звіту, свої відмітки також роблять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бухгалтер/касир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(особа, що видала кошти) та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директор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.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Відповідно до п. 5 Порядку N 996, працівник, що отримав підзвітні кошти, повинен заповнити всі графи Звіту,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окрім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:</w:t>
      </w:r>
    </w:p>
    <w:p w:rsidR="00015AA5" w:rsidRPr="00015AA5" w:rsidRDefault="00015AA5" w:rsidP="00015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"Звіт перевірено";</w:t>
      </w:r>
    </w:p>
    <w:p w:rsidR="00015AA5" w:rsidRPr="00015AA5" w:rsidRDefault="00015AA5" w:rsidP="00015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"Залишок унесений (перевитрата видана) у сумі за касовим ордером";</w:t>
      </w:r>
    </w:p>
    <w:p w:rsidR="00015AA5" w:rsidRPr="00015AA5" w:rsidRDefault="00015AA5" w:rsidP="00015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бухгалтерські проведення;</w:t>
      </w:r>
    </w:p>
    <w:p w:rsidR="00015AA5" w:rsidRPr="00015AA5" w:rsidRDefault="00015AA5" w:rsidP="00015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розрахунок суми утриманого податку за несвоєчасно повернуті витрачені кошти на відрядження або під звіт - ці графи заповнює особа, що видала такі кошти (бухгалтер чи касир);</w:t>
      </w:r>
    </w:p>
    <w:p w:rsidR="00015AA5" w:rsidRPr="00015AA5" w:rsidRDefault="00015AA5" w:rsidP="00015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"Звіт затверджено"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– підписує керівник підприємства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(абз. 3 п. 5 Порядку N 996).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У випадку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закордонного відрядження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авансовий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звіт 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потрібно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заповнювати у гривнях та у валюті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(п. 3 ст. 9 Закону України "Про бухгалтерський облік та фінансову звітність в України" N 996-ХІV від 16.07.99 р.).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3. Строки подання Звіту та повернення підзвітних сум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Строки подання Звіту та повернення підзвітних сум регулюють пп. пп. 170.9.2, 170.9.3 ПКУ та п. 2 Порядку N 996.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За наявності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</w:rPr>
        <w:t>надміру витрачених коштів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така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сума повертається платником податку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в касу або зараховується на банківський рахунок особи, що їх видала,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ДО або ПІД ЧАС подання Звіту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(п. 170.9.2 ПКУ, абз. 2 п. 2 Порядку N 996).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Таким чином можна зробити висновок, що граничні строки повернення надміру витрачених коштів співпадають зі строками подання Звіту, які можна викласти у вигляді такої таблиці:</w:t>
      </w:r>
    </w:p>
    <w:tbl>
      <w:tblPr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71"/>
        <w:gridCol w:w="2332"/>
        <w:gridCol w:w="2508"/>
        <w:gridCol w:w="2162"/>
      </w:tblGrid>
      <w:tr w:rsidR="00015AA5" w:rsidRPr="00015AA5" w:rsidTr="00015A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lastRenderedPageBreak/>
              <w:t>Кошти видані на: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Видано готівкою з каси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Готівка, знята з платіжної картки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Безготівкові розрахунки за допомогою платіжної картки</w:t>
            </w:r>
          </w:p>
        </w:tc>
      </w:tr>
      <w:tr w:rsidR="00015AA5" w:rsidRPr="00015AA5" w:rsidTr="00015A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відрядження </w:t>
            </w:r>
            <w:r w:rsidRPr="00015AA5">
              <w:rPr>
                <w:rFonts w:ascii="Verdana" w:eastAsia="Times New Roman" w:hAnsi="Verdana" w:cs="Tahoma"/>
                <w:i/>
                <w:iCs/>
                <w:color w:val="000000"/>
                <w:sz w:val="28"/>
                <w:szCs w:val="28"/>
              </w:rPr>
              <w:t>(в т.ч., у якому вирішуються виробничі (господарські) потреби)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до закінчення 5-го банківського дня, що настає за днем, у якому працівник завершує відрядження</w:t>
            </w:r>
            <w:r w:rsidRPr="00015AA5">
              <w:rPr>
                <w:rFonts w:ascii="Verdana" w:eastAsia="Times New Roman" w:hAnsi="Verdana" w:cs="Tahoma"/>
                <w:i/>
                <w:iCs/>
                <w:color w:val="000000"/>
                <w:sz w:val="28"/>
                <w:szCs w:val="28"/>
              </w:rPr>
              <w:t>(п. 170.9.2 ПКУ).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до закінчення 3-го банківського дня після завершення відрядження</w:t>
            </w:r>
            <w:r w:rsidRPr="00015AA5">
              <w:rPr>
                <w:rFonts w:ascii="Verdana" w:eastAsia="Times New Roman" w:hAnsi="Verdana" w:cs="Tahoma"/>
                <w:i/>
                <w:iCs/>
                <w:color w:val="000000"/>
                <w:sz w:val="28"/>
                <w:szCs w:val="28"/>
              </w:rPr>
              <w:t>(пп. "а" п. 170.9.3 ПКУ).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не пізніше 10 банківських днів </w:t>
            </w:r>
            <w:r w:rsidRPr="00015AA5">
              <w:rPr>
                <w:rFonts w:ascii="Verdana" w:eastAsia="Times New Roman" w:hAnsi="Verdana" w:cs="Tahoma"/>
                <w:i/>
                <w:iCs/>
                <w:color w:val="000000"/>
                <w:sz w:val="28"/>
                <w:szCs w:val="28"/>
              </w:rPr>
              <w:t>(після завершення відрядження)</w:t>
            </w: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, а за наявності поважних причин (до з'ясування питання в разі виявлення розбіжностей між відповідними звітними документами) – </w:t>
            </w: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20</w:t>
            </w: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 </w:t>
            </w:r>
            <w:r w:rsidRPr="00015AA5">
              <w:rPr>
                <w:rFonts w:ascii="Verdana" w:eastAsia="Times New Roman" w:hAnsi="Verdana" w:cs="Tahoma"/>
                <w:i/>
                <w:iCs/>
                <w:color w:val="000000"/>
                <w:sz w:val="28"/>
                <w:szCs w:val="28"/>
              </w:rPr>
              <w:t>(пп. "б" п. 170.9.3 ПКУ).</w:t>
            </w:r>
          </w:p>
        </w:tc>
      </w:tr>
      <w:tr w:rsidR="00015AA5" w:rsidRPr="00015AA5" w:rsidTr="00015A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вирішення виробничих (господарських) потреб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до закінчення 5-го банківського дня, що настає за днем, у якому платник податку завершує виконання окремої цивільно-правової дії </w:t>
            </w:r>
            <w:r w:rsidRPr="00015AA5">
              <w:rPr>
                <w:rFonts w:ascii="Verdana" w:eastAsia="Times New Roman" w:hAnsi="Verdana" w:cs="Tahoma"/>
                <w:i/>
                <w:iCs/>
                <w:color w:val="000000"/>
                <w:sz w:val="28"/>
                <w:szCs w:val="28"/>
              </w:rPr>
              <w:t>(п. 170.9.2 ПКУ)*</w:t>
            </w:r>
          </w:p>
        </w:tc>
      </w:tr>
    </w:tbl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</w:rPr>
        <w:t>*ВАЖЛИВО!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Зверніть увагу на граничні строки видачі коштів під звіт, що регулюються п. 2.11 Положення про ведення касових операцій у національній валюті в Україні (N 637 від 15.12.2004 р.), а саме: видача готівкових коштів під звіт на закупівлю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сільськогосподарської продукції та заготівлю вторинної сировини, крім металобрухту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дозволяється на строк не більше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10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робочих днів від дня видачі готівкових коштів під звіт, а на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всі інші виробничі (господарські) потреби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- на строк </w:t>
      </w:r>
      <w:r w:rsidRPr="00015AA5">
        <w:rPr>
          <w:rFonts w:ascii="Verdana" w:eastAsia="Times New Roman" w:hAnsi="Verdana" w:cs="Tahoma"/>
          <w:color w:val="000000"/>
          <w:sz w:val="28"/>
          <w:szCs w:val="28"/>
          <w:u w:val="single"/>
        </w:rPr>
        <w:t>не більше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</w:rPr>
        <w:t>2</w:t>
      </w:r>
      <w:r w:rsidRPr="00015AA5">
        <w:rPr>
          <w:rFonts w:ascii="Verdana" w:eastAsia="Times New Roman" w:hAnsi="Verdana" w:cs="Tahoma"/>
          <w:color w:val="000000"/>
          <w:sz w:val="28"/>
          <w:szCs w:val="28"/>
          <w:u w:val="single"/>
        </w:rPr>
        <w:t xml:space="preserve"> робочих днів, уключаючи </w:t>
      </w:r>
      <w:r w:rsidRPr="00015AA5">
        <w:rPr>
          <w:rFonts w:ascii="Verdana" w:eastAsia="Times New Roman" w:hAnsi="Verdana" w:cs="Tahoma"/>
          <w:color w:val="000000"/>
          <w:sz w:val="28"/>
          <w:szCs w:val="28"/>
          <w:u w:val="single"/>
        </w:rPr>
        <w:lastRenderedPageBreak/>
        <w:t>день отримання готівкових коштів під звіт.</w:t>
      </w:r>
      <w:r w:rsidRPr="00015AA5">
        <w:rPr>
          <w:rFonts w:ascii="Verdana" w:eastAsia="Times New Roman" w:hAnsi="Verdana" w:cs="Tahoma"/>
          <w:color w:val="000000"/>
          <w:sz w:val="28"/>
          <w:szCs w:val="28"/>
          <w:u w:val="single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Не виключено, що при перевірці касових операцій контролери будуть відштовхуватися саме від цих строків.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4. ПДФО у разі неповернення надміру витрачених коштів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Відповідно до пп. 164.2.11 ПКУ, сума надміру витрачених коштів, отриманих платником податку на відрядження або під звіт та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</w:rPr>
        <w:t>не повернутих у встановлені законодавством строки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включається до загального місячного (річного) оподатковуваного доходу платника податку. При цьому законодавством (тобто ПКУ), встановлено ті строки, про які йшлося вище (3-й,5-й,10-й чи 20-й день, що настає за днем, у якому платник податку завершує відрядження або завершує виконання окремої цивільно-правової дії). 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Згідно з п.3 Порядку N 996, якщо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протягом звітного місяця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на який припадає граничний строк, підзвітна особа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не повертає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суму надміру витрачених коштів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(залишок коштів понад суму, витрачену згідно зі звітом про використання коштів, наданих на відрядження – пп. 1.11  Інструкції про службові відрядження в межах України та за кордон, затвердженої Наказом МФУ N 59 від 13.03.98 р.)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то така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сума підлягає оподаткуванню ПДФО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відповідно до пункту 167.1 ПКУ за рахунок будь-якого оподатковуваного доходу (після його оподаткування) за відповідний місяць, а у разі недостатності суми доходу за рахунок оподатковуваних доходів наступних звітних місяців до повної сплати суми такого податку.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Та іноді у бухгалтерів виникає ще одне питання: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"Що робити коли працівник вчасно не відзвітував, але на всю суму коштів виданих під звіт, у нього є підтверджуючі документи? Чи буде тоді нараховуватися ПДФО, і з якої суми його утримувати?"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Виходячи з норм ПКУ видно, що база оподаткування ПДФО –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це сума надміру витрачених коштів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(пп. 164.2.11 ПКУ). Оподаткування здійснюється відповідно до п. 170.9 ПКУ (в якому теж говориться про надміру витрачені кошти). А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надміру витрачені кошти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як ми вже зазначали – це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залишок коштів понад суму, витрачену згідно зі звітом про використання коштів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наданих на відрядження. 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Тож проаналізувавши все наведене, виходить, що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 xml:space="preserve">у даному 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lastRenderedPageBreak/>
        <w:t>випадку база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оподаткування ПДФО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відсутня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і тому працівнику це нічим не загрожує.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Що стосується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ставок 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ПДФО, то вони стандартні: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15%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для суми, яка не перевищує 10 мінімальних зарплат станом на 1 січня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(в 2011 році це 9410 грн.)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і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17%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- для суми перевищення.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Як і раніше, базою оподаткування є сума надміру витрачених коштів, помножена на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коефіцієнт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який обчислюється за такою формулою:</w:t>
      </w:r>
    </w:p>
    <w:p w:rsidR="00015AA5" w:rsidRPr="00015AA5" w:rsidRDefault="00015AA5" w:rsidP="00015AA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i/>
          <w:iCs/>
          <w:color w:val="000000"/>
          <w:sz w:val="28"/>
          <w:szCs w:val="28"/>
        </w:rPr>
        <w:t>К = 100 : (100 - Сп),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i/>
          <w:iCs/>
          <w:color w:val="000000"/>
          <w:sz w:val="28"/>
          <w:szCs w:val="28"/>
        </w:rPr>
        <w:t>К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– коефіцієнт,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b/>
          <w:bCs/>
          <w:i/>
          <w:iCs/>
          <w:color w:val="000000"/>
          <w:sz w:val="28"/>
          <w:szCs w:val="28"/>
        </w:rPr>
        <w:t>Сп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- ставка податку, встановлена для таких доходів на момент їх нарахування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(п. 164.5 ПКУ)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.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Коефіцієнт для ставки податку 15% становитиме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1,176471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=100:(100-15). А для ставки 17% -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1,204819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=100:(100-17).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i/>
          <w:iCs/>
          <w:color w:val="000000"/>
          <w:sz w:val="28"/>
          <w:szCs w:val="28"/>
        </w:rPr>
        <w:t>ПДФО = СК х К х Сп : 100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i/>
          <w:iCs/>
          <w:color w:val="000000"/>
          <w:sz w:val="28"/>
          <w:szCs w:val="28"/>
        </w:rPr>
        <w:t>ПДФО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 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– сума податку,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b/>
          <w:bCs/>
          <w:i/>
          <w:iCs/>
          <w:color w:val="000000"/>
          <w:sz w:val="28"/>
          <w:szCs w:val="28"/>
        </w:rPr>
        <w:t>СК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- сума коштів, що не була  повернута вчасно.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Не забувайте: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коли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ви нараховуєте ПДФО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на кошти, що не були вчасно повернуті, то необхідно під розпис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ознайомити з його розрахунком працівника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. Для цього в Звіті передбачено графу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"З розрахунком ознайомлений: підпис ______дата _____".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Коли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платник податку припиняє трудові або цивільно-правові відносини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з особою, що видала такі кошти,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сума ПДФО утримується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за рахунок останньої виплати оподатковуваного доходу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під час проведення остаточного розрахунку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а у разі недостатності суми такого доходу непогашена частина податку включається до податкового зобов’язання платника податку за наслідками звітного (податкового) року (абз. 1 п. 4 Порядку N 996).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Якщо повне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утримання такої суми податку є неможливим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 xml:space="preserve"> внаслідок смерті чи визнання платника податку судом безвісно відсутнім або оголошення судом померлим,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lastRenderedPageBreak/>
        <w:t>така сума утримується під час нарахування доходу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за останній для такого платника податку податковий період, а в непогашеній частині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визнається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безнадійною до сплати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(абз. 2 п. 4 Порядку N 996)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Зверніть увагу!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Роботодавцю при розрахунку ПДФО необхідно дотримуватися такої вимоги - загальний розмір усіх відрахувань не може перевищувати 20%, а у випадках, окремо передбачених законодавством України, - 50% заробітної плати, яка належить до виплати працівникові, а для тих, хто сплачує аліменти на неповнолітніх дітей, максимальний розмір відрахувань складає 70% </w:t>
      </w:r>
      <w:r w:rsidRPr="00015AA5">
        <w:rPr>
          <w:rFonts w:ascii="Verdana" w:eastAsia="Times New Roman" w:hAnsi="Verdana" w:cs="Tahoma"/>
          <w:i/>
          <w:iCs/>
          <w:color w:val="000000"/>
          <w:sz w:val="28"/>
          <w:szCs w:val="28"/>
        </w:rPr>
        <w:t>(ст. 128 КЗпП)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5. Санкції за несвоєчасне звітування за виданими авансами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Слід пам’ятати, що санкції за невчасне звітування по виданим авансам накладаються як на співробітника, так і на посадових осіб підприємства, а також на саме підприємство.</w:t>
      </w:r>
    </w:p>
    <w:tbl>
      <w:tblPr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98"/>
        <w:gridCol w:w="2188"/>
        <w:gridCol w:w="2852"/>
        <w:gridCol w:w="2035"/>
      </w:tblGrid>
      <w:tr w:rsidR="00015AA5" w:rsidRPr="00015AA5" w:rsidTr="00015A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До кого застосовуються санкція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Зміст порушення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Санкції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Посилання на нормативний документ</w:t>
            </w:r>
          </w:p>
        </w:tc>
      </w:tr>
      <w:tr w:rsidR="00015AA5" w:rsidRPr="00015AA5" w:rsidTr="00015AA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Співробітник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Повернення після закінчення граничних строків надміру витрачених коштів</w:t>
            </w:r>
            <w:r w:rsidRPr="00015AA5">
              <w:rPr>
                <w:rFonts w:ascii="Verdana" w:eastAsia="Times New Roman" w:hAnsi="Verdana" w:cs="Tahoma"/>
                <w:i/>
                <w:iCs/>
                <w:color w:val="000000"/>
                <w:sz w:val="28"/>
                <w:szCs w:val="28"/>
              </w:rPr>
              <w:t>(залишку не використаних підзвітних сум)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ПДФО</w:t>
            </w: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 від усієї неповернутої суми, збільшеної на коефіцієнт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пп. 164.2.11 ПКУ</w:t>
            </w:r>
          </w:p>
        </w:tc>
      </w:tr>
      <w:tr w:rsidR="00015AA5" w:rsidRPr="00015AA5" w:rsidTr="00015AA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 xml:space="preserve">Неповернення у встановлений термін авансу, </w:t>
            </w: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lastRenderedPageBreak/>
              <w:t>виданого в іноземній валюті на службове відрядження або господарські потреби, та в інших випадках не здачі іноземної валюти, одержаної у підзвіт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lastRenderedPageBreak/>
              <w:t>ПДФО</w:t>
            </w: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 від усієї неповернутої суми, збільшеної на коефіцієнт</w:t>
            </w:r>
          </w:p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lastRenderedPageBreak/>
              <w:t>Потрійна сума (вартість) неповернутих валютних цінностей, перерахована у валюту України за обмінним курсом НБУ на день погашення заборгованості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lastRenderedPageBreak/>
              <w:t>пп. 164.2.11 ПКУ</w:t>
            </w:r>
          </w:p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Tahoma" w:eastAsia="Times New Roman" w:hAnsi="Tahoma" w:cs="Tahoma"/>
                <w:color w:val="454545"/>
                <w:sz w:val="28"/>
                <w:szCs w:val="28"/>
              </w:rPr>
              <w:t> </w:t>
            </w:r>
          </w:p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lastRenderedPageBreak/>
              <w:t>ст. 2 Закону України N 217/95-ВР від 06.06.95 р.</w:t>
            </w:r>
          </w:p>
        </w:tc>
      </w:tr>
      <w:tr w:rsidR="00015AA5" w:rsidRPr="00015AA5" w:rsidTr="00015AA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lastRenderedPageBreak/>
              <w:t>Посадові особи підприємства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Порушення правил ведення касових операцій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Адміштраф в розмірі </w:t>
            </w: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від 8 нмдг</w:t>
            </w: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 </w:t>
            </w:r>
            <w:r w:rsidRPr="00015AA5">
              <w:rPr>
                <w:rFonts w:ascii="Verdana" w:eastAsia="Times New Roman" w:hAnsi="Verdana" w:cs="Tahoma"/>
                <w:i/>
                <w:iCs/>
                <w:color w:val="000000"/>
                <w:sz w:val="28"/>
                <w:szCs w:val="28"/>
              </w:rPr>
              <w:t>(136 грн.)</w:t>
            </w: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до 15 нмдг</w:t>
            </w:r>
            <w:r w:rsidRPr="00015AA5">
              <w:rPr>
                <w:rFonts w:ascii="Verdana" w:eastAsia="Times New Roman" w:hAnsi="Verdana" w:cs="Tahoma"/>
                <w:i/>
                <w:iCs/>
                <w:color w:val="000000"/>
                <w:sz w:val="28"/>
                <w:szCs w:val="28"/>
              </w:rPr>
              <w:t>(255 грн.)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ст. 164-2 КпАП</w:t>
            </w:r>
          </w:p>
        </w:tc>
      </w:tr>
      <w:tr w:rsidR="00015AA5" w:rsidRPr="00015AA5" w:rsidTr="00015AA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Повторне порушення ведення касових операцій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Адмінштраф в розмірі </w:t>
            </w: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від 10 нмдг</w:t>
            </w: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 </w:t>
            </w:r>
            <w:r w:rsidRPr="00015AA5">
              <w:rPr>
                <w:rFonts w:ascii="Verdana" w:eastAsia="Times New Roman" w:hAnsi="Verdana" w:cs="Tahoma"/>
                <w:i/>
                <w:iCs/>
                <w:color w:val="000000"/>
                <w:sz w:val="28"/>
                <w:szCs w:val="28"/>
              </w:rPr>
              <w:t>(170 грн.)</w:t>
            </w: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до 20 нмдг</w:t>
            </w:r>
            <w:r w:rsidRPr="00015AA5">
              <w:rPr>
                <w:rFonts w:ascii="Verdana" w:eastAsia="Times New Roman" w:hAnsi="Verdana" w:cs="Tahoma"/>
                <w:i/>
                <w:iCs/>
                <w:color w:val="000000"/>
                <w:sz w:val="28"/>
                <w:szCs w:val="28"/>
              </w:rPr>
              <w:t>(340 грн.)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ст. 164-2 КпАП</w:t>
            </w:r>
          </w:p>
        </w:tc>
      </w:tr>
      <w:tr w:rsidR="00015AA5" w:rsidRPr="00015AA5" w:rsidTr="00015AA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Підприємство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 xml:space="preserve">За перевищення встановлених строків використання виданої під звіт готівки, а також за видачу готівкових коштів під звіт без повного звітування щодо раніше виданих </w:t>
            </w: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lastRenderedPageBreak/>
              <w:t>коштів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lastRenderedPageBreak/>
              <w:t>Штраф в розмірі</w:t>
            </w: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25%</w:t>
            </w: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 виданих під звіт сум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п. 1 Указу Президента України N 491/99 від 11.05.99 р.</w:t>
            </w:r>
          </w:p>
        </w:tc>
      </w:tr>
      <w:tr w:rsidR="00015AA5" w:rsidRPr="00015AA5" w:rsidTr="00015AA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За проведення готівкових розрахунків без подання одержувачем коштів платіжного документа (товарного або касового чека, квитанції до прибуткового ордера, іншого письмового документа), який би підтверджував сплату покупцем готівкових коштів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У розмірі сплачених коштів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п. 1 Указу Президента України N 491/99 від 11.05.99 р.</w:t>
            </w:r>
          </w:p>
        </w:tc>
      </w:tr>
    </w:tbl>
    <w:p w:rsidR="00015AA5" w:rsidRPr="00015AA5" w:rsidRDefault="00015AA5" w:rsidP="00015AA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6. Кореспонденція бухгалтерських рахунків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Наводимо числовий приклад операцій, коли працівник вчасно не повернув залишок невитрачених підзвітних коштів.</w:t>
      </w:r>
    </w:p>
    <w:tbl>
      <w:tblPr>
        <w:tblW w:w="409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7"/>
        <w:gridCol w:w="2419"/>
        <w:gridCol w:w="1250"/>
        <w:gridCol w:w="1369"/>
        <w:gridCol w:w="725"/>
        <w:gridCol w:w="1236"/>
        <w:gridCol w:w="1022"/>
      </w:tblGrid>
      <w:tr w:rsidR="00015AA5" w:rsidRPr="00015AA5" w:rsidTr="00015AA5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Зміст господарської операції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Бухгалтерський облік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Податковий облік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Сума</w:t>
            </w:r>
          </w:p>
        </w:tc>
      </w:tr>
      <w:tr w:rsidR="00015AA5" w:rsidRPr="00015AA5" w:rsidTr="00015A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Д-т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К-т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ВД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t>ВВ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</w:p>
        </w:tc>
      </w:tr>
      <w:tr w:rsidR="00015AA5" w:rsidRPr="00015AA5" w:rsidTr="00015A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Видано працівнику підзвітні кошти на придбання канцелярських товарів – 250,00 грн.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250,00</w:t>
            </w:r>
          </w:p>
        </w:tc>
      </w:tr>
      <w:tr w:rsidR="00015AA5" w:rsidRPr="00015AA5" w:rsidTr="00015AA5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 xml:space="preserve">Затверджено </w:t>
            </w: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lastRenderedPageBreak/>
              <w:t>авансовий звіт на суму 190,00 грн.</w:t>
            </w:r>
          </w:p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на основі прикладених до авансового звіту підтверджуючих документів, в яких виділений окремою стрічкою ПДВ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160,00</w:t>
            </w:r>
          </w:p>
        </w:tc>
      </w:tr>
      <w:tr w:rsidR="00015AA5" w:rsidRPr="00015AA5" w:rsidTr="00015A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30,00</w:t>
            </w:r>
          </w:p>
        </w:tc>
      </w:tr>
      <w:tr w:rsidR="00015AA5" w:rsidRPr="00015AA5" w:rsidTr="00015AA5">
        <w:trPr>
          <w:tblCellSpacing w:w="0" w:type="dxa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</w:rPr>
              <w:lastRenderedPageBreak/>
              <w:t>Працівник невчасно повернув залишок підзвітних коштів у сумі 60,00 грн.</w:t>
            </w:r>
          </w:p>
        </w:tc>
      </w:tr>
      <w:tr w:rsidR="00015AA5" w:rsidRPr="00015AA5" w:rsidTr="00015A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Сума ПДФО (60,00 грн. х 1,176471 х 15% : 100%)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10,59</w:t>
            </w:r>
          </w:p>
        </w:tc>
      </w:tr>
      <w:tr w:rsidR="00015AA5" w:rsidRPr="00015AA5" w:rsidTr="00015A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Перераховує суму ПДФО до бюджету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10,59</w:t>
            </w:r>
          </w:p>
        </w:tc>
      </w:tr>
      <w:tr w:rsidR="00015AA5" w:rsidRPr="00015AA5" w:rsidTr="00015AA5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Працівник повернув до каси невикористані підзвітні кошти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60,00</w:t>
            </w:r>
          </w:p>
        </w:tc>
      </w:tr>
      <w:tr w:rsidR="00015AA5" w:rsidRPr="00015AA5" w:rsidTr="00015A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Працівник виявив бажання вирахувати суму неповернутих коштів із своєї заробітної плати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A5" w:rsidRPr="00015AA5" w:rsidRDefault="00015AA5" w:rsidP="00015A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545"/>
                <w:sz w:val="28"/>
                <w:szCs w:val="28"/>
              </w:rPr>
            </w:pPr>
            <w:r w:rsidRPr="00015AA5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60,00</w:t>
            </w:r>
          </w:p>
        </w:tc>
      </w:tr>
    </w:tbl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color w:val="000000"/>
          <w:sz w:val="28"/>
          <w:szCs w:val="28"/>
        </w:rPr>
        <w:t>Відмічаємо, що з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01.04.2011 р.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відповідно до ПКУ, в податковому обліку потрібно оперувати поняттями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не валові доходи і витрати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, а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просто – доходи та витрати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.</w:t>
      </w:r>
    </w:p>
    <w:p w:rsidR="00015AA5" w:rsidRPr="00015AA5" w:rsidRDefault="00015AA5" w:rsidP="00015A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8"/>
          <w:szCs w:val="28"/>
          <w:shd w:val="clear" w:color="auto" w:fill="FFFFF5"/>
        </w:rPr>
      </w:pP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Зверніть увагу!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 xml:space="preserve"> В своєму листі N 14545/6/17-0716 від 30.12.2010 р. "Про оподаткування надміру витрачених коштів, 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lastRenderedPageBreak/>
        <w:t>отриманих на відрядження"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Державна податкова адміністрація України повідомляє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: протягом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 I кварталу 2011 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року </w:t>
      </w:r>
      <w:r w:rsidRPr="00015AA5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продовжуватимуть діяти норми</w:t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 Закону України "Про оподаткування прибутку підприємств", у тому числі його пп. 5.4.8 п. 5.4 ст. 5 щодо розрахунку сум на відрядження. </w:t>
      </w:r>
      <w:r w:rsidRPr="00015AA5">
        <w:rPr>
          <w:rFonts w:ascii="Verdana" w:eastAsia="Times New Roman" w:hAnsi="Verdana" w:cs="Tahoma"/>
          <w:color w:val="000000"/>
          <w:sz w:val="28"/>
          <w:szCs w:val="28"/>
          <w:shd w:val="clear" w:color="auto" w:fill="FFFFF5"/>
        </w:rPr>
        <w:br/>
      </w:r>
      <w:r w:rsidRPr="00015AA5">
        <w:rPr>
          <w:rFonts w:ascii="Verdana" w:eastAsia="Times New Roman" w:hAnsi="Verdana" w:cs="Tahoma"/>
          <w:color w:val="000000"/>
          <w:sz w:val="28"/>
          <w:szCs w:val="28"/>
        </w:rPr>
        <w:t>Тому при виконанні норм п. 170.9 ПКУ у I кварталі 2011 року слід керуватися пп. 5.4.8 п. 5.4 ст. 5 Закону про прибуток (у редакції Закону N 283/97-ВР від 22.05.97 р.).</w:t>
      </w:r>
    </w:p>
    <w:p w:rsidR="000C5CC1" w:rsidRPr="00015AA5" w:rsidRDefault="000C5CC1">
      <w:pPr>
        <w:rPr>
          <w:sz w:val="28"/>
          <w:szCs w:val="28"/>
        </w:rPr>
      </w:pPr>
    </w:p>
    <w:sectPr w:rsidR="000C5CC1" w:rsidRPr="00015AA5" w:rsidSect="0058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D15"/>
    <w:multiLevelType w:val="multilevel"/>
    <w:tmpl w:val="3F6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61B34"/>
    <w:multiLevelType w:val="multilevel"/>
    <w:tmpl w:val="9232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015AA5"/>
    <w:rsid w:val="00015AA5"/>
    <w:rsid w:val="000C5CC1"/>
    <w:rsid w:val="00583DA6"/>
    <w:rsid w:val="0069099C"/>
    <w:rsid w:val="007446A8"/>
    <w:rsid w:val="00A30BE1"/>
    <w:rsid w:val="00C2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5AA5"/>
  </w:style>
  <w:style w:type="paragraph" w:styleId="a3">
    <w:name w:val="Normal (Web)"/>
    <w:basedOn w:val="a"/>
    <w:uiPriority w:val="99"/>
    <w:unhideWhenUsed/>
    <w:rsid w:val="0001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1black">
    <w:name w:val="sm1black"/>
    <w:basedOn w:val="a0"/>
    <w:rsid w:val="00015AA5"/>
  </w:style>
  <w:style w:type="character" w:customStyle="1" w:styleId="apple-converted-space">
    <w:name w:val="apple-converted-space"/>
    <w:basedOn w:val="a0"/>
    <w:rsid w:val="00015AA5"/>
  </w:style>
  <w:style w:type="character" w:styleId="a4">
    <w:name w:val="Emphasis"/>
    <w:basedOn w:val="a0"/>
    <w:uiPriority w:val="20"/>
    <w:qFormat/>
    <w:rsid w:val="00015AA5"/>
    <w:rPr>
      <w:i/>
      <w:iCs/>
    </w:rPr>
  </w:style>
  <w:style w:type="character" w:styleId="a5">
    <w:name w:val="Strong"/>
    <w:basedOn w:val="a0"/>
    <w:uiPriority w:val="22"/>
    <w:qFormat/>
    <w:rsid w:val="00015A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</cp:lastModifiedBy>
  <cp:revision>2</cp:revision>
  <dcterms:created xsi:type="dcterms:W3CDTF">2011-11-28T10:41:00Z</dcterms:created>
  <dcterms:modified xsi:type="dcterms:W3CDTF">2011-11-28T10:41:00Z</dcterms:modified>
</cp:coreProperties>
</file>