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b/>
          <w:bCs/>
          <w:color w:val="000000"/>
          <w:sz w:val="27"/>
          <w:szCs w:val="27"/>
          <w:lang w:eastAsia="ru-RU"/>
        </w:rPr>
        <w:t xml:space="preserve">3.6. </w:t>
      </w:r>
      <w:proofErr w:type="gramStart"/>
      <w:r w:rsidRPr="00C323F9">
        <w:rPr>
          <w:rFonts w:ascii="Verdana" w:eastAsia="Times New Roman" w:hAnsi="Verdana" w:cs="Courier New"/>
          <w:b/>
          <w:bCs/>
          <w:color w:val="000000"/>
          <w:sz w:val="27"/>
          <w:szCs w:val="27"/>
          <w:lang w:eastAsia="ru-RU"/>
        </w:rPr>
        <w:t>Обл</w:t>
      </w:r>
      <w:proofErr w:type="gramEnd"/>
      <w:r w:rsidRPr="00C323F9">
        <w:rPr>
          <w:rFonts w:ascii="Verdana" w:eastAsia="Times New Roman" w:hAnsi="Verdana" w:cs="Courier New"/>
          <w:b/>
          <w:bCs/>
          <w:color w:val="000000"/>
          <w:sz w:val="27"/>
          <w:szCs w:val="27"/>
          <w:lang w:eastAsia="ru-RU"/>
        </w:rPr>
        <w:t>ік операцій на поточному рахунку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Для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обл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іку наявності та руху грошових коштів на поточному рахунку, що знаходиться у банку і можуть бути використані для поточних операцій призначено рахунок 31 “Рахунки в банках”, конкретно у розрізі субрахунків: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311 “Поточні рахунки в національній валюті”;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312 “Поточні рахунки в іноземній валюті”.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За дебетом субрахунків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ідображається надходження грошових коштів, за кредитом — їх використання.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Для здійснення операцій на поточному рахунку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ідприємством до уповноваженого банку подаються оформлені належним чином відповідні первинні документи. Здійснення такого роду операцій вимагає від бухгалтера, в свою чергу, не лише знання за допомогою якого документа можна здійснити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ту чи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іншу операцію, а також вміння їх правильно заповнювати і опрацьовувати.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Виходячи з цього, документи, за допомогою яких проводяться операції на поточному рахунку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у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банку, можна поділити на три групи: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1) документи, за допомогою яких суб’єкт господарювання забезпечує взаємозв’язок між поточним рахунком і касою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ідприємства (заява на отримання чекових книжок, грошова чекова книжка, об’ява про внесення готівки);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2) документи, за допомогою яких суб’єкт господарювання здійснює розрахунки із іншими суб’єктами господарювання в обох напрямках (платіжне доручення, платіжна вимога-доручення);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3) документи, за допомогою яких здійснюється списання сум недоїмок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до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бюджету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за податками і які стягуються у безспірному порядку (платіжна вимога, інкасове доручення-розпорядження).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Враховуючи поділ документів на три групи, розглянемо спочатку документи, за допомогою яких суб’єкт господарювання забезпечує взаємозв’язок між поточним рахунком у банку і касою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ідприємства.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Для отримання належних готівкових коштів із банку у касу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ідприємства використовують чек грошової чекової книжки. В свою чергу для отримання як грошової, так і розрахункової чекової книжки до установи банку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подається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“Заява на отримання чекових книжок”, яка представлена у зразку 3.11.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Заява на отримання чекових книжок може бути оформлена як рукописно, так із використанням технічних засобів. Для надання юридичної сили на заяві ставляться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ідписи керівника і 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lastRenderedPageBreak/>
        <w:t>головного бухгалтера, а також печатка підприємства, чим засвідчується прізвище і підпис особи, яку направляють для виконання даної операції до банку.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На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вс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іх чеках, які входять до чекової книжки (грошової або розрахункової) установою банку проставляється відповідна нумерація і назва того підприємства, якому вона видається.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Отримуючи зазначені чекові книжки, касир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ідприємства власноручно підписується на поданій ним до банку заяві, чим засвідчує належність йому затвердженого на підприємстві підпису на отримання чекових книжок.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Зауважимо, що по грошовій чековій книжці встановлення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р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ізного роду грошового ліміту не передбачено, оскільки вона використовується лише з метою отримання підприємством готівки з банку до каси підприємства.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Для отримання готівки з банку до каси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ідприємства головний бухгалтер оформляє вручну чек грошової чекової книжки, який касиром передається до банку. Форму і порядок заповнення чеку наведено у зразку 3.12.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Отриманні гроші оприбутковуються у касі прибутковим касовим ордером, в якому зазначають, що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ідставою для здійснення надходжень до каси став чек №______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По факту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закінчення чеків грошової чекової книжки до банку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подається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нова заява на одержання чекових книжок, до якої додаються корінці попередньої.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Зразок 3.11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Courier New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157936" cy="3809533"/>
            <wp:effectExtent l="19050" t="0" r="0" b="0"/>
            <wp:docPr id="1" name="Рисунок 1" descr="http://subject.com.ua/economic/accounting/accounting.files/image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bject.com.ua/economic/accounting/accounting.files/image08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52" cy="380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Зразок 3.12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Courier New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710568" cy="7520940"/>
            <wp:effectExtent l="19050" t="0" r="4432" b="0"/>
            <wp:docPr id="2" name="Рисунок 2" descr="http://subject.com.ua/economic/accounting/accounting.files/image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bject.com.ua/economic/accounting/accounting.files/image0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68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Зразок 3.13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Courier New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603784" cy="8191500"/>
            <wp:effectExtent l="19050" t="0" r="0" b="0"/>
            <wp:docPr id="3" name="Рисунок 3" descr="http://subject.com.ua/economic/accounting/accounting.files/image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bject.com.ua/economic/accounting/accounting.files/image0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84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Для передачі готівки із каси до банку касиром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ідприємства оформляється вручну “Об’ява про внесення готівки”. Типову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aps/>
          <w:color w:val="000000"/>
          <w:sz w:val="27"/>
          <w:szCs w:val="27"/>
          <w:lang w:eastAsia="ru-RU"/>
        </w:rPr>
        <w:t>ФОРМУ</w:t>
      </w:r>
      <w:r w:rsidRPr="00C323F9">
        <w:rPr>
          <w:rFonts w:ascii="Verdana" w:eastAsia="Times New Roman" w:hAnsi="Verdana" w:cs="Courier New"/>
          <w:caps/>
          <w:color w:val="000000"/>
          <w:sz w:val="27"/>
          <w:lang w:eastAsia="ru-RU"/>
        </w:rPr>
        <w:t> 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об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’яви на внесення готівки і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aps/>
          <w:color w:val="000000"/>
          <w:sz w:val="27"/>
          <w:szCs w:val="27"/>
          <w:lang w:eastAsia="ru-RU"/>
        </w:rPr>
        <w:t>ПОРЯДОК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її заповнення представлено у зразку 3.13.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Зауважимо, що на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об’яв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 про внесення готівки: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lastRenderedPageBreak/>
        <w:t xml:space="preserve">1)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ідписи керівника, головного бухгалтера і печатка підприємства не ставляться;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2) касир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ідприємства підписується лише один раз на першій (верхній) частині об’яви про внесення готівки;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3) нумерацію об’яви про внесення готівки (номери об’яви, квитанції і ордера) проставляють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вс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 під одним номером у банку по факту надходження, незважаючи на те, що сама об’ява є вихідним документом з підприємства.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Відразу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ісля здачі грошей у банк касиру підприємства видається на руки середня частина об’яви про внесення готівки (квитанція), яка містить відмітки банку про зарахування внесених коштів на поточний рахунок.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Представлення на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ідприємстві квитанції від об’яви про внесення готівки є безпосереднім свідченням здачі грошей до банку, на підставі чого у бухгалтерії оформляється видатковий касовий ордер, в якому зазначають, що підставою для здійснення операції стала квитанція №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Документи, за допомогою яких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ідприємство здійснює розрахунки з іншими суб’єктами підприємницької діяльності (або за допомогою яких суб’єкти підприємницької діяльності здійснюють розрахунки з підприємством), є “Платіжне доручення” та “Платіжна вимога-доручення”.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b/>
          <w:bCs/>
          <w:color w:val="000000"/>
          <w:sz w:val="27"/>
          <w:szCs w:val="27"/>
          <w:lang w:eastAsia="ru-RU"/>
        </w:rPr>
        <w:t>Розрахунки із застосуванням платіжних доручень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Платіжне доручення (далі — доручення) — документ, який являє собою письмово оформлене доручення клієнта банку, що його обслугову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є,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на перерахування визначеної суми коштів зі свого рахунку.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Доручення складаються за Формою, яка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наведена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у зразку 3.14.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2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Оформлення платіжного доручення здійснюється або за допомогою друкарської машинки, або роздруковується на комп’ютері. Номер платіжного доручення проставляється на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ідприємстві, а дані платіжного доручення реєструються у журналі реєстрації платіжних доручень або фіксуються автоматично у пам’яті ЕОМ.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Для проведення розрахунків за допомогою платіжного доручення їх треба подати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до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банку у двох екземплярах (при міжбанківських розрахунках) і трьох (при однобанківських). Перший екземпляр (з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ідписами і печаткою від підприємства) залишається у банку, а другий і третій видається разом із 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lastRenderedPageBreak/>
        <w:t>випискою по розрахунковому рахунку платнику і одержувачу коштів.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Зразок 3.14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Courier New"/>
          <w:noProof/>
          <w:sz w:val="27"/>
          <w:szCs w:val="27"/>
          <w:lang w:eastAsia="ru-RU"/>
        </w:rPr>
        <w:drawing>
          <wp:inline distT="0" distB="0" distL="0" distR="0">
            <wp:extent cx="5443953" cy="3348659"/>
            <wp:effectExtent l="19050" t="0" r="4347" b="0"/>
            <wp:docPr id="4" name="Рисунок 4" descr="http://subject.com.ua/economic/accounting/accounting.files/imag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bject.com.ua/economic/accounting/accounting.files/image0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16" cy="33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Доручення приймаються до виконання банками протягом десяти календарних днів з дня виписки. День заповнення доручення не враховується.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Банки приймають до виконання доручення від платників тільки в межах наявних коштів на їх рахунках, за винятком доручень на перерахування з основних рахунків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 до бюджетів та державних цільових фондів сум податків і зборів (обов’язкових платежів), неподаткових платежів, пені, штрафів та інших санкцій, передбачених законодавством і застосованих у встановленому порядку за несвоєчасну сплату цих платежів, які приймаються банками незалежно від наявності кошті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на цих рахунках. Не приймаються до картотеки платіжні доручення на сплату податків, зборів, інших обов’язкових платежів та внесків до державних цільових фонді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, строк сплати яких не настав.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Доручення застосовуються в розрахунках за платежами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товарного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і нетоварного характеру.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Розрахунки дорученнями можуть здійснюватись: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- за фактично відвантажену продукцію (виконані роботи, надані послуги);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-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порядку попередньої оплати;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lastRenderedPageBreak/>
        <w:t xml:space="preserve">- для завершення розрахунків за актами звірки взаємної заборгованості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- для перерахування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ідприємствами сум, які належать фізичним особам (заробітна плата, пенсії, грошові доходи акціонерів тощо) на їх рахунки, відкриті в установах банків;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- в інших випадках за згодою сторін.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При розрахунках за фактично відвантажену, продану продукцію (виконані роботи, надані послуги) в дорученні в рядку “Призначення платежу” вказується назва (вид) відвантаженої, проданої продукції (виконаних робіт, послуг), номер, дата товарно-транспортного чи іншого документа, що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ідтверджує відвантаження, продаж продукції (виконання робіт, надання послуг).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Попередня оплата здійснюється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ідприємствами у разі, якщо це обумовлено в договорі. У дорученні в рядку “Призначення платежу” робиться такий запис: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“Попередня оплата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за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_______________________________________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(назва товару, виконаних робіт та наданих послуг</w:t>
      </w:r>
      <w:proofErr w:type="gramEnd"/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_________________ за______________________ №______________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(назва документа)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від “__ ”________ 200_ року згідно з договором від______ №___ ”.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При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р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івномірних і постійних поставках товарів та наданні послуг розрахунки між постачальниками і покупцями можуть здійснюватися дорученнями, періодичним перерахуванням коштів у строки і в розмірах, які обумовлені в договорах.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У двосторонньому договорі передбачаються розмі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р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та строки перерахування коштів, періодичність звірення розрахунків і порядок проведення кінцевого розрахунку покупцем.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Останній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платіж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за договором, як правило, має враховувати взаємну заборгованість між постачальником і покупцем.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Розрахунки із застосуванням платіжних вимог-доручень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Платіжна вимога-доручення (далі — вимога-доручення) — це комбінований розрахунковий документ, який складається з двох частин: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- верхня — вимога постачальника (одержувача коштів) безпосередньо до покупця (платника) сплатити вартість поставленої йому за договором продукції (виконаних робіт, наданих послуг);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- нижня — доручення платника своєму банку перерахувати з його рахунку суму, яка проставлена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у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рядку “сума до оплати літерами”.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lastRenderedPageBreak/>
        <w:t xml:space="preserve">Вимога-доручення складається за формою, яка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наведена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у зразку 3.15.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Вимога-доручення заповнюється одержувачем коштів і надсилається безпосередньо платнику. Номер платіжної вимоги-доручення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проставляється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одержувачем коштів, а інформація із документа знаходить відображення у журналі реєстрації платіжних вимог-доручень або фіксується автоматично на ЕОМ.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Доставку вимог-доручень до платника може здійснювати банк одержувача через банк платника.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З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метою гарантованої прискореної доставки платникам вимог-доручень рекомендується передавати їх у комплекті з розрахунковими та відвантажувальними документами за поставлену згідно з договором (угодою) продукцію (виконані роботи, надані послуги тощо).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У разі згоди оплатити вимогу-доручення платник заповнює нижню частину цього документа (ставить лише печатку та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ідписи) і здає в банк, що його обслуговує.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Платіжні вимоги-доручення приймаються банками протягом двадцяти календарних днів з дня виписки. День заповнення платіжної вимоги-доручення не враховується.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Вимога-доручення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подається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в установу банку у двох примірниках.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Перший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примірник має бути оформлений у встановленому порядку.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Призначення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кожного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примірника вимоги-доручення таке, як і платіжного доручення.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Банк приймає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до оплати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вимогу-доручення в сумі, яка може бути сплачена за наявними коштами на рахунку платника.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У разі відмови платника сплатити вимогу-доручення він про мотиви відмови повідомляє безпосередньо одержувачу коштів у порядку і строки, зазначені в договорі.</w:t>
      </w:r>
      <w:proofErr w:type="gramEnd"/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b/>
          <w:bCs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b/>
          <w:bCs/>
          <w:color w:val="000000"/>
          <w:sz w:val="27"/>
          <w:szCs w:val="27"/>
          <w:lang w:eastAsia="ru-RU"/>
        </w:rPr>
        <w:t>Розрахунки платіжними вимогами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Без згоди юридичних осіб та фізичних осіб — суб’єктів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ідприємницької діяльності списання (стягнення) коштів, що знаходяться на їх рахунках у банках, не допускається, за винятком випадків, установлених законами України, а також за рішенням суду, арбітражного суду та за виконавчими написами нотаріусів.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Зразок 3.15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Courier New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180126" cy="3291840"/>
            <wp:effectExtent l="19050" t="0" r="1474" b="0"/>
            <wp:docPr id="5" name="Рисунок 5" descr="http://subject.com.ua/economic/accounting/accounting.files/image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bject.com.ua/economic/accounting/accounting.files/image0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69" cy="32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Розрахунковий документ на безспірне списання (стягнення) коштів оформлюється на бланку платіжної вимоги і подається стягувачем, державним виконавцем (далі — стягувач) до установи банку, що його обслугову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є,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за Формою, яку наведено у зразку 3.16. у трьох примірниках.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Платіжні вимоги приймаються банком стягувача протягом десяти календарних днів з дня виписки. День заповнення платіжної вимоги не враховується.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Залежно від конкретного випадку безспірного списання (стягнення) коштів, у рядку “Призначення платежу” платіжної вимоги стягувач має зазначити: назву і відповідну статтю закону, якою передбачено безспірне списання (стягнення) коштів; у разі необхідності — вид платежу і період часу, за який здійснюється стягнення;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акт ненормативного характеру, на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ідставі якого здійснюється стягнення із зазначенням його назви (постанова, рішення, наказ тощо), дати й номера. Якщо зі змісту закону випливає необхідність посилання на інші документи (догові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р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, митну декларацію, вексель тощо), то в платіжній вимозі мають вказуватися реквізити відповідно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го документа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(назва,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дата, номер).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Якщо безспірне стягнення коштів здійснюється на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ідставі виконавчого документа, то до розрахункового документа додається оригінал виконавчого документа або належним чином оформлений дублікат. У цьому разі в рядку “Призначення платежу” розрахункового документа посилання на назву і статтю законодавчого акта, якою передбачене безспірне стягнення (списання) кошті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, не потрібне.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lastRenderedPageBreak/>
        <w:t xml:space="preserve">Якщо платник та одержувач коштів обслуговуються у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р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ізних установах банку, то перший і другий примірники платіжної вимоги спецзв’язком надсилаються банком одержувача у банк платника, третій — видається на руки одержувачу коштів.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У банку платника перший примірник виконує функцію меморіального документа для списання коштів з рахунку платника, другий —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видається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платнику з випискою із особового рахунку.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У разі, якщо платник та одержувач коштів обслуговуються в одній установі банку, то перший примірник вимоги залишається в документах дня банку, другий —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видається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платнику, третій — одержувачу коштів.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Відповідальність за обґрунтованість і правильність внесення даних у розрахункові документи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у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разі безспірного стягнення та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безакцептного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списання коштів несе стягувач.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b/>
          <w:bCs/>
          <w:color w:val="000000"/>
          <w:sz w:val="27"/>
          <w:szCs w:val="27"/>
          <w:lang w:eastAsia="ru-RU"/>
        </w:rPr>
        <w:t>Розрахунки інкасовими дорученнями (розпорядженнями)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Суми недоїмки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до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бюджету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за податками, штрафи, нараховані державними податковими адміністраціями України, стягуються у безспірному порядку інкасовими дорученнями (розпорядженнями).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Зразок 3.16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Courier New"/>
          <w:noProof/>
          <w:sz w:val="27"/>
          <w:szCs w:val="27"/>
          <w:lang w:eastAsia="ru-RU"/>
        </w:rPr>
        <w:drawing>
          <wp:inline distT="0" distB="0" distL="0" distR="0">
            <wp:extent cx="5386959" cy="3129354"/>
            <wp:effectExtent l="19050" t="0" r="4191" b="0"/>
            <wp:docPr id="6" name="Рисунок 6" descr="http://subject.com.ua/economic/accounting/accounting.files/image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bject.com.ua/economic/accounting/accounting.files/image0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22" cy="313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lastRenderedPageBreak/>
        <w:t>Інкасові доручення (розпорядження) приймаються банком, що обслуговує стягувача, протягом десяти календарних днів з дня виписки. День заповнення інкасового доручення (розпорядження) не враховується.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Інкасове доручення (розпорядження) заповнюється та надсилається в банк платника у двох примірниках (перший примірник залишається у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документах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дня банку, другий — надсилається платнику).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Залежно від конкретного випадку безспірного списання (стягнення) коштів, у рядку “Призначення платежу” інкасового доручення (розпорядження) вказується: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назва і в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ідповідна стаття закону, якою передбачено безспірне списання (стягнення) коштів; у разі необхідності — вид платежу і період часу, за який здійснюється стягнення; акт ненормативного характеру, на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ідставі якого здійснюється стягнення з зазначенням його назви (постанова, рішення, наказ тощо), дати й номера. Якщо зі змісту закону випливає необхідність посилання на інші документи, то в інкасовому дорученні (розпорядженні) мають вказуватися реквізити відповідного документа (назва, дата, номер). Якщо законом передбачено безспірне стягнення пені, то в розрахунковому документі сума основного боргу і сума пені вказуються окремо.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Відповідальність за достовірність даних інкасового доручення (розпорядження) на безспірне стягнення коштів покладається на стягувача, який оформив розрахунковий документ.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Якщо стягувачем є установа банку (банк-стягувач), боржник якої (якого) обслуговується в іншій установі банку, то банк-стягувач надсилає спецзв’язком розрахункові та виконавчі документи безпосередньо в банк боржника.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Документи на безспірне стягнення та безакцептне списання коштів з основних рахунків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 приймаються банками незалежно від наявності коштів на цих рахунках.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Документ, за допомогою якого банк здійснює списання із поточного рахунку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ідприємства плату за розрахунково-касове обслуговування є “Меморіальний ордер”, типова Форма якого наведена у зразку 3.17.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ідтвердженням здійснення операції на поточному рахунку підприємства є банківська виписка, до якої банком додаються документи, на підставі яких проводилися розрахунки. Типова Форма банківської виписки наведена у зразку 3.18.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ісля доставки касиром виписки на підприємство здійснюється її опрацювання головним бухгалтером. Опрацювання банківської виписки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включає в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себе три етапи: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lastRenderedPageBreak/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Зразок 3.17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Courier New"/>
          <w:noProof/>
          <w:sz w:val="27"/>
          <w:szCs w:val="27"/>
          <w:lang w:eastAsia="ru-RU"/>
        </w:rPr>
        <w:drawing>
          <wp:inline distT="0" distB="0" distL="0" distR="0">
            <wp:extent cx="5835572" cy="3544974"/>
            <wp:effectExtent l="19050" t="0" r="0" b="0"/>
            <wp:docPr id="7" name="Рисунок 7" descr="http://subject.com.ua/economic/accounting/accounting.files/image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bject.com.ua/economic/accounting/accounting.files/image0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43" cy="354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Зразок 3.18.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Courier New"/>
          <w:noProof/>
          <w:sz w:val="27"/>
          <w:szCs w:val="27"/>
          <w:lang w:eastAsia="ru-RU"/>
        </w:rPr>
        <w:drawing>
          <wp:inline distT="0" distB="0" distL="0" distR="0">
            <wp:extent cx="4757438" cy="2834640"/>
            <wp:effectExtent l="19050" t="0" r="5062" b="0"/>
            <wp:docPr id="8" name="Рисунок 8" descr="http://subject.com.ua/economic/accounting/accounting.files/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ubject.com.ua/economic/accounting/accounting.files/image0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38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1) до банківської виписки, у порядку здійснення відображених у ній операцій, прикріплюються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вс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і додані до неї банком первинні документи. Зауважимо, що на суму знятої із поточного рахунку до каси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ідприємства готівки банк не надасть жодного документа. В цьому випадку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до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банк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івської виписки додається 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lastRenderedPageBreak/>
        <w:t xml:space="preserve">квитанція від прибуткового касового ордера, яка засвідчує оприбуткування грошей до каси. За умов, коли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ідприємство вносило до банку готівку із каси, то до виписки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по поточному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рахунку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банком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буде доданийордер</w:t>
      </w:r>
      <w:r w:rsidRPr="00C323F9">
        <w:rPr>
          <w:rFonts w:ascii="Verdana" w:eastAsia="Times New Roman" w:hAnsi="Verdana" w:cs="Courier New"/>
          <w:color w:val="000000"/>
          <w:sz w:val="27"/>
          <w:lang w:eastAsia="ru-RU"/>
        </w:rPr>
        <w:t> </w:t>
      </w: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(третя частина від об’яви про внесення готівки), що засвідчує факт здійснення операції;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2)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заключається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у встановленні і зазначенні у виписці біля кожної суми номера того бухгалтерського рахунку, у кореспонденції з яким пов’язане надходження або списання коштів із поточного рахунку;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3) полягає у перенесенні узагальнених даних із виписки по дебету і кредиту поточного рахунку одним рядком до журналу-ордеру № 2 при журнально-ордерній формі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обл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іку, а при спрощеній формі бухгалтерського обліку у розділ II Відомості 1-М (див. дод. А 1).</w:t>
      </w:r>
    </w:p>
    <w:p w:rsidR="00C323F9" w:rsidRPr="00C323F9" w:rsidRDefault="00C323F9" w:rsidP="00C323F9">
      <w:pPr>
        <w:shd w:val="clear" w:color="auto" w:fill="FFFFFF"/>
        <w:spacing w:after="0" w:line="240" w:lineRule="auto"/>
        <w:ind w:firstLine="360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Типова кореспонденція рахунків по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обл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іку операції на поточному рахунку у банку відображена у таблиці 3.3.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 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i/>
          <w:iCs/>
          <w:color w:val="000000"/>
          <w:sz w:val="27"/>
          <w:szCs w:val="27"/>
          <w:lang w:eastAsia="ru-RU"/>
        </w:rPr>
        <w:t>Таблиця 3.3.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Кореспонденція рахунків по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обл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іку операцій на поточному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рахунку </w:t>
      </w:r>
      <w:proofErr w:type="gramStart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>у</w:t>
      </w:r>
      <w:proofErr w:type="gramEnd"/>
      <w:r w:rsidRPr="00C323F9">
        <w:rPr>
          <w:rFonts w:ascii="Verdana" w:eastAsia="Times New Roman" w:hAnsi="Verdana" w:cs="Courier New"/>
          <w:color w:val="000000"/>
          <w:sz w:val="27"/>
          <w:szCs w:val="27"/>
          <w:lang w:eastAsia="ru-RU"/>
        </w:rPr>
        <w:t xml:space="preserve"> банку</w:t>
      </w:r>
    </w:p>
    <w:p w:rsidR="00C323F9" w:rsidRPr="00C323F9" w:rsidRDefault="00C323F9" w:rsidP="00C323F9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7"/>
          <w:szCs w:val="27"/>
          <w:lang w:eastAsia="ru-RU"/>
        </w:rPr>
      </w:pPr>
      <w:r w:rsidRPr="00C323F9">
        <w:rPr>
          <w:rFonts w:ascii="Verdana" w:eastAsia="Times New Roman" w:hAnsi="Verdana" w:cs="Courier New"/>
          <w:sz w:val="27"/>
          <w:szCs w:val="27"/>
          <w:lang w:eastAsia="ru-RU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3"/>
        <w:gridCol w:w="4261"/>
        <w:gridCol w:w="2273"/>
        <w:gridCol w:w="2368"/>
      </w:tblGrid>
      <w:tr w:rsidR="00C323F9" w:rsidRPr="00C323F9" w:rsidTr="00C323F9">
        <w:trPr>
          <w:trHeight w:val="341"/>
        </w:trPr>
        <w:tc>
          <w:tcPr>
            <w:tcW w:w="250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№</w:t>
            </w:r>
          </w:p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50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Змі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 господарської операції</w:t>
            </w:r>
          </w:p>
        </w:tc>
        <w:tc>
          <w:tcPr>
            <w:tcW w:w="2450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Кореспондуючі рахунки</w:t>
            </w:r>
          </w:p>
        </w:tc>
      </w:tr>
      <w:tr w:rsidR="00C323F9" w:rsidRPr="00C323F9" w:rsidTr="00C323F9">
        <w:trPr>
          <w:trHeight w:val="326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Дебет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Кредит</w:t>
            </w:r>
          </w:p>
        </w:tc>
      </w:tr>
      <w:tr w:rsidR="00C323F9" w:rsidRPr="00C323F9" w:rsidTr="00C323F9">
        <w:trPr>
          <w:trHeight w:val="322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323F9" w:rsidRPr="00C323F9" w:rsidTr="00C323F9">
        <w:trPr>
          <w:trHeight w:val="653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Здано готівку із каси на поточний рахунок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 банку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30 “Каса”</w:t>
            </w:r>
          </w:p>
        </w:tc>
      </w:tr>
      <w:tr w:rsidR="00C323F9" w:rsidRPr="00C323F9" w:rsidTr="00C323F9">
        <w:trPr>
          <w:trHeight w:val="922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5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Надійшла на поточний рахунок заборгованість покупця по векселю одержаному</w:t>
            </w:r>
          </w:p>
        </w:tc>
        <w:tc>
          <w:tcPr>
            <w:tcW w:w="12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  <w:tc>
          <w:tcPr>
            <w:tcW w:w="12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34 “Короткостро-кові векселі одержані”</w:t>
            </w:r>
          </w:p>
        </w:tc>
      </w:tr>
      <w:tr w:rsidR="00C323F9" w:rsidRPr="00C323F9" w:rsidTr="00C323F9">
        <w:trPr>
          <w:trHeight w:val="1224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Надійшла на поточний рахунок заборгованість покупці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 за реалізовані їм товари, роботи і послуги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36 “Розрахунки з покупцями та замовниками”</w:t>
            </w:r>
          </w:p>
        </w:tc>
      </w:tr>
      <w:tr w:rsidR="00C323F9" w:rsidRPr="00C323F9" w:rsidTr="00C323F9">
        <w:trPr>
          <w:trHeight w:val="1219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Одержано на поточний рахунок довгострокову та короткострокову позики банку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50 “Довгострокові позики”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60 “Короткостро-кові позики"</w:t>
            </w:r>
          </w:p>
        </w:tc>
      </w:tr>
      <w:tr w:rsidR="00C323F9" w:rsidRPr="00C323F9" w:rsidTr="00C323F9">
        <w:trPr>
          <w:trHeight w:val="1219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Повернуто на поточний рахунок від постачальника суму передоплати, яку було проведено раніше на його рахунок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63 “Розрахунки з постачальниками та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ідрядниками”</w:t>
            </w:r>
          </w:p>
        </w:tc>
      </w:tr>
      <w:tr w:rsidR="00C323F9" w:rsidRPr="00C323F9" w:rsidTr="00C323F9">
        <w:trPr>
          <w:trHeight w:val="922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Надійшла на поточний рахунок виручка від реалізації товарі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, робіт і послуг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70 “Доходи від реалізації”</w:t>
            </w:r>
          </w:p>
        </w:tc>
      </w:tr>
      <w:tr w:rsidR="00C323F9" w:rsidRPr="00C323F9" w:rsidTr="00C323F9">
        <w:trPr>
          <w:trHeight w:val="1824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Надійшла на поточний рахунок виручка від реалізації оборотних активів, а також пені, штрафи, неустойки в результаті невиконання договірних зобов’язань іншими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ідприємствами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71 “Інший операційний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дохід”</w:t>
            </w:r>
          </w:p>
        </w:tc>
      </w:tr>
      <w:tr w:rsidR="00C323F9" w:rsidRPr="00C323F9" w:rsidTr="00C323F9">
        <w:trPr>
          <w:trHeight w:val="917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Одержано на поточний рахунок від інших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ідприємств дивіденди за цінними паперами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73 “Інші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фінансові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доходи”</w:t>
            </w:r>
          </w:p>
        </w:tc>
      </w:tr>
      <w:tr w:rsidR="00C323F9" w:rsidRPr="00C323F9" w:rsidTr="00C323F9">
        <w:trPr>
          <w:trHeight w:val="926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Одержано на поточний рахунок виручку від реалізації майнових комплексі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74 “Інші доходи”</w:t>
            </w:r>
          </w:p>
        </w:tc>
      </w:tr>
      <w:tr w:rsidR="00C323F9" w:rsidRPr="00C323F9" w:rsidTr="00C323F9">
        <w:trPr>
          <w:trHeight w:val="1219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Відображено надходження на поточний рахунок страховика страхових платежів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ід страхувальників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76 “Страхові платежі”</w:t>
            </w:r>
          </w:p>
        </w:tc>
      </w:tr>
      <w:tr w:rsidR="00C323F9" w:rsidRPr="00C323F9" w:rsidTr="00C323F9">
        <w:trPr>
          <w:trHeight w:val="1824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Проведено оплату із поточного рахунку за цінні папери інших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ідприємств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14 “Довгострокові фінансові інвестиції”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35 “Поточні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фінансові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інвестиції”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634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Отримано готівку із банку до каси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30 “Каса”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898"/>
        </w:trPr>
        <w:tc>
          <w:tcPr>
            <w:tcW w:w="25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5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Проведено із поточного рахунку передоплату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за пер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іодичні видання</w:t>
            </w:r>
          </w:p>
        </w:tc>
        <w:tc>
          <w:tcPr>
            <w:tcW w:w="120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39 “Витрати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майбутніх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періоді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12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610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Викуплено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ідприємством у акціонерів акції власної емісії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45 “Вилучений капітал”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1195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Повернуто банку суми раніше одержаних довгострокових і короткострокових позик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50 “Довгострокові позики”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60 “Короткострокові позики"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1488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Оплачено із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поточного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 рахунку заборгованість по довгострокових і короткострокових векселях виданих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51 “Довгострокові векселі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видан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і”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62 “Короткострокові векселі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видан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898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Проведено із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поточного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 рахунку оплату на адресу постачальника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63 “Розрахунки з постачальниками та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ідрядниками”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902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Проведено із поточного рахунку розрахунки із фондами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соц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іального спрямування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65 “Розрахунки за страхуванням”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1195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Перераховано із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поточного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 рахунку заробітну плату працівників на їх особисті рахунки у банку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66 “Розрахунки за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виплатами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працівникам”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898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Перераховано із поточного рахунку дивіденди власникам цінних паперів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ідприємства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67 “Розрахунки з учасниками”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902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Проведено розрахунки з іншими кредиторами через поточний рахунок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ідприємства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68 “Розрахунки за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іншими</w:t>
            </w:r>
          </w:p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операціями”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902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Перераховано страхувальнику страхові платежі за умови припинення дії договору страхування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76 “Страхові платежі”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898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Оплачено із поточного рахунку визнані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ідприємством штрафи, пені, неустойки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94 “Інші витрати</w:t>
            </w:r>
          </w:p>
          <w:p w:rsidR="00C323F9" w:rsidRPr="00C323F9" w:rsidRDefault="00C323F9" w:rsidP="00C323F9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операційної</w:t>
            </w:r>
          </w:p>
          <w:p w:rsidR="00C323F9" w:rsidRPr="00C323F9" w:rsidRDefault="00C323F9" w:rsidP="00C323F9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діяльності”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902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Перераховано із </w:t>
            </w:r>
            <w:proofErr w:type="gramStart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поточного</w:t>
            </w:r>
            <w:proofErr w:type="gramEnd"/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 xml:space="preserve"> рахунку банку відсотки за користування кредитом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95 “Фінансові витрати”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  <w:tr w:rsidR="00C323F9" w:rsidRPr="00C323F9" w:rsidTr="00C323F9">
        <w:trPr>
          <w:trHeight w:val="917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Проведено перерахування із поточного рахунку сум страхових відшкодувань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904 “Страхові виплати”</w:t>
            </w:r>
          </w:p>
        </w:tc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323F9" w:rsidRPr="00C323F9" w:rsidRDefault="00C323F9" w:rsidP="00C323F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C323F9">
              <w:rPr>
                <w:rFonts w:ascii="Verdana" w:eastAsia="Times New Roman" w:hAnsi="Verdana" w:cs="Courier New"/>
                <w:color w:val="000000"/>
                <w:sz w:val="24"/>
                <w:szCs w:val="24"/>
                <w:lang w:eastAsia="ru-RU"/>
              </w:rPr>
              <w:t>31 “Рахунки в банках”</w:t>
            </w:r>
          </w:p>
        </w:tc>
      </w:tr>
    </w:tbl>
    <w:p w:rsidR="00564CA1" w:rsidRDefault="004E0AD5"/>
    <w:sectPr w:rsidR="00564CA1" w:rsidSect="00690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323F9"/>
    <w:rsid w:val="004E0AD5"/>
    <w:rsid w:val="00590C21"/>
    <w:rsid w:val="005B71B2"/>
    <w:rsid w:val="00690890"/>
    <w:rsid w:val="00C32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323F9"/>
  </w:style>
  <w:style w:type="paragraph" w:styleId="a3">
    <w:name w:val="Balloon Text"/>
    <w:basedOn w:val="a"/>
    <w:link w:val="a4"/>
    <w:uiPriority w:val="99"/>
    <w:semiHidden/>
    <w:unhideWhenUsed/>
    <w:rsid w:val="00C3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9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3053</Words>
  <Characters>17405</Characters>
  <Application>Microsoft Office Word</Application>
  <DocSecurity>0</DocSecurity>
  <Lines>145</Lines>
  <Paragraphs>40</Paragraphs>
  <ScaleCrop>false</ScaleCrop>
  <Company>Microsoft</Company>
  <LinksUpToDate>false</LinksUpToDate>
  <CharactersWithSpaces>20418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2013-10-15T11:39:00Z</dcterms:created>
  <dcterms:modified xsi:type="dcterms:W3CDTF">2013-10-15T11:39:00Z</dcterms:modified>
</cp:coreProperties>
</file>